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0EC2E" w14:textId="0B497EA5" w:rsidR="00657959" w:rsidRPr="00657959" w:rsidRDefault="00657959" w:rsidP="00657959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  <w:r w:rsidRPr="00657959">
        <w:rPr>
          <w:rFonts w:ascii="PFDinDisplayPro-Regular" w:eastAsia="Times New Roman" w:hAnsi="PFDinDisplayPro-Regular" w:cs="Times New Roman"/>
          <w:noProof/>
          <w:color w:val="0C1F3A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57D2A68D" wp14:editId="27192913">
            <wp:extent cx="2381250" cy="542925"/>
            <wp:effectExtent l="0" t="0" r="0" b="9525"/>
            <wp:docPr id="2" name="Рисунок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50D1" w14:textId="1779BDC3" w:rsidR="00657959" w:rsidRDefault="00657959" w:rsidP="0065795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657959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34719983" w14:textId="77777777" w:rsidR="0025418A" w:rsidRPr="00657959" w:rsidRDefault="0025418A" w:rsidP="0065795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</w:p>
    <w:p w14:paraId="7FA6797A" w14:textId="77777777" w:rsidR="00657959" w:rsidRPr="00657959" w:rsidRDefault="00657959" w:rsidP="0065795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57959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14:paraId="18034287" w14:textId="77777777" w:rsidR="00657959" w:rsidRPr="00657959" w:rsidRDefault="00657959" w:rsidP="00657959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lang w:eastAsia="ru-RU"/>
        </w:rPr>
      </w:pPr>
      <w:hyperlink r:id="rId6" w:history="1">
        <w:r w:rsidRPr="00657959">
          <w:rPr>
            <w:rFonts w:ascii="inherit" w:eastAsia="Times New Roman" w:hAnsi="inherit" w:cs="Times New Roman"/>
            <w:color w:val="333333"/>
            <w:sz w:val="39"/>
            <w:szCs w:val="39"/>
            <w:u w:val="single"/>
            <w:bdr w:val="none" w:sz="0" w:space="0" w:color="auto" w:frame="1"/>
            <w:lang w:eastAsia="ru-RU"/>
          </w:rPr>
          <w:t>Выпуск № 238 (27087) 21.12.2020</w:t>
        </w:r>
      </w:hyperlink>
    </w:p>
    <w:p w14:paraId="501BE3DF" w14:textId="77777777" w:rsidR="00657959" w:rsidRPr="00657959" w:rsidRDefault="00657959" w:rsidP="00657959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30"/>
          <w:szCs w:val="30"/>
          <w:lang w:eastAsia="ru-RU"/>
        </w:rPr>
      </w:pPr>
      <w:r w:rsidRPr="00657959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3 полоса </w:t>
      </w:r>
      <w:r w:rsidRPr="00657959">
        <w:rPr>
          <w:rFonts w:ascii="PFDinDisplayPro-Regular" w:eastAsia="Times New Roman" w:hAnsi="PFDinDisplayPro-Regular" w:cs="Times New Roman"/>
          <w:i/>
          <w:iCs/>
          <w:color w:val="B01D21"/>
          <w:sz w:val="30"/>
          <w:szCs w:val="30"/>
          <w:bdr w:val="none" w:sz="0" w:space="0" w:color="auto" w:frame="1"/>
          <w:lang w:eastAsia="ru-RU"/>
        </w:rPr>
        <w:t>|</w:t>
      </w:r>
      <w:r w:rsidRPr="00657959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 Официально</w:t>
      </w:r>
    </w:p>
    <w:p w14:paraId="3595A914" w14:textId="77777777" w:rsidR="00657959" w:rsidRPr="00657959" w:rsidRDefault="00657959" w:rsidP="00657959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</w:pPr>
      <w:r w:rsidRPr="00657959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498441A0" w14:textId="77777777" w:rsidR="00657959" w:rsidRPr="00657959" w:rsidRDefault="00657959" w:rsidP="00657959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</w:pP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>Выписка из протокола заседания правления ОАО «РЖД» № 73 от 16.12.2020 г.</w:t>
      </w:r>
    </w:p>
    <w:p w14:paraId="71D67D66" w14:textId="77777777" w:rsidR="00657959" w:rsidRPr="00657959" w:rsidRDefault="00657959" w:rsidP="00657959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</w:pP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экспортные перевозки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Беюк-Кясик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– Гардабани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в собственных (арендованных) вагонах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Беюк-Кясик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– Гардабани.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Период действия понижающего коэффициента с 1 января 2021 г. по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 xml:space="preserve"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lastRenderedPageBreak/>
        <w:t>(переадресовки) груза как в пути следования, так и на первоначальной станции назначения.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II.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импортные перевозки плодоовощной продукции (позиции ЕТСНГ 041-043, 051-054) из Республик Узбекистан и Таджикистан в Российскую Федерацию в рефрижераторном подвижном составе принадлежности АО «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Узбекистон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темир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йуллари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» и ГУП «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Рохи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охани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Точикистон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»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плодоовощной продукции (позиции ЕТСНГ 041-043, 051-054) в прямом железнодорожном сообщении из Республик Узбекистан и Таджикистан в Российскую Федерацию в рефрижераторном подвижном составе принадлежности АО «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Узбекистон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темир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йуллари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» и ГУП «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Рохи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охани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Точикистон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».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2021 г. по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III.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внутрироссийские перевозки плодоовощной продукции (позиции ЕТСНГ 041-043, 051-054) со станций Приволжской и Северо-Кавказской железных дорог на станции Куйбышевской, Московской, Октябрьской, Горьковской, Свердловской железных дорог на расстояние до 3000 км включительно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0,59 к действующим тарифам раздела 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плодоовощной продукции (позиции ЕТСНГ 041-043, 051-054) в собственных 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lastRenderedPageBreak/>
        <w:t>(арендованных) крытых вагонах со станций Приволжской и Северо-Кавказской железных дорог на станции Куйбышевской, Московской, Октябрьской, Горьковской, Свердловской железных дорог на расстояние до 3000 км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июля 2021 г. по 31 октября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IV.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перевозки груженых универсальных крупнотоннажных контейнеров, следующих в составе контейнерных поездов, со станций Ховрино Октябрьской железной дороги и Электроугли Московской железной дороги на станции Екатеринбург-Товарный, Екатеринбург-Сортировочный и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Шарташ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Свердловской железной дороги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груженых универсальных крупнотоннажных контейнеров, следующих в составе контейнерных поездов со станций Ховрино Октябрьской железной дороги и Электроугли Московской железной дороги на станции Екатеринбург-Товарный, Екатеринбург-Сортировочный и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Шарташ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Свердловской железной дороги.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загрузки контейнерного поезда универсальными крупнотоннажными контейнерами в количестве не менее 100 ДФЭ, в том числе гружеными универсальными крупнотоннажными контейнерами в количестве не менее 50 ДФЭ.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2021 г. по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4. Выполнение указанных условий должно быть закреплено договорными обязательствами с ОАО «РЖД».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перевозки груженых универсальных крупнотоннажных контейнеров, следующих в составе контейнерных поездов, со станции 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lastRenderedPageBreak/>
        <w:t>Кунцево II Московской железной дороги на станцию Екатеринбург-Товарный Свердловской железной дороги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0,838 и 0,923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груженых универсальных крупнотоннажных контейнеров, следующих в составе контейнерных поездов, со станции Кунцево II Московской железной дороги на станцию Екатеринбург-Товарный Свердловской железной дороги.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Понижающий коэффициент 0,838 действует при условии загрузки контейнерного поезда универсальными крупнотоннажными контейнерами в количестве не менее 100 ДФЭ, в том числе гружеными универсальными крупнотоннажными контейнерами в количестве не менее 50 ДФЭ.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При невыполнении условия загрузки контейнерного поезда универсальными крупнотоннажными контейнерами в количестве не менее 100 ДФЭ, в том числе гружеными универсальными крупнотоннажными контейнерами в количестве не менее 50 ДФЭ, действует понижающий коэффициент 0,923 при условии загрузки контейнерного поезда гружеными универсальными крупнотоннажными контейнерами в количестве не менее 77 ДФЭ.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Период действия понижающих коэффициентов с 1 января 2021 г. по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5. Выполнение указанных условий должно быть закреплено договорными обязательствами с ОАО «РЖД».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VI.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грузов второго и третьего тарифного класса в рефрижераторных контейнерах с ряда станций Октябрьской железной дороги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1.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lastRenderedPageBreak/>
        <w:t xml:space="preserve">понижающий коэффициент 0,52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тарифного класса в рефрижераторных контейнерах со станций Санкт-Петербургского железнодорожного узла: Автово, Дача Долгорукова,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Заневский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Пост,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Лигово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, Новый Порт,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Предпортовая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, Санкт-Петербург-Балтийский, Санкт-Петербург-Финляндский, Шушары, а также станций Бронка, Ижоры, Лужская, Парнас, Усть-Луга Октябрьской железной дороги на станции Санкт-Петербургского железнодорожного узла: Автово, Дача Долгорукова,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Заневский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Пост,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Лигово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, Новый Порт,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Предпортовая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, Санкт-Петербург-Балтийский, Санкт-Петербург-Финляндский, Шушары, а также станции Бронка, Ижоры, Лужская, Парнас, Усть-Луга Октябрьской железной дороги.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2021 г. до момента вступления в силу решений ФАС России об изменении тарификации грузов в термических контейнерах, но не позднее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 как в пути следования, так и на первоначальной станции назначения.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VII.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экспортные перевозки грузов второго и третьего тарифного класса в рефрижераторных контейнерах в направлении российско-китайской пограничной передаточной станции Забайкальск (эксп.) Забайкальской железной дороги, а также российско-казахстанских пограничных передаточных станций при дальнейшем проследовании погранпереходов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Достык-Алашанькоу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и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Алтынколь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-Хоргос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грузов второго и третьего тарифного класса в рефрижераторных контейнерах через пограничную передаточную станцию Забайкальск (эксп.) Забайкальской железной дороги, а также российско-казахстанские пограничные передаточные станции при дальнейшем проследовании погранпереходов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Достык-Алашанькоу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 xml:space="preserve"> и </w:t>
      </w:r>
      <w:proofErr w:type="spellStart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Алтынколь</w:t>
      </w:r>
      <w:proofErr w:type="spellEnd"/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-Хоргос.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 xml:space="preserve">2. Период действия понижающего коэффициента с 1 января 2021 г. до момента вступления в 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lastRenderedPageBreak/>
        <w:t>силу решений ФАС России об изменении тарификации грузов в термических контейнерах, но не позднее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 как в пути следования, так и на первоначальной станции назначения.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VIII.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груженых крупнотоннажных универсальных контейнеров, следующих в составе контейнерных поездов, на специализированных платформах, предназначенных для перевозки контейнеров, а также на контрейлерные перевозки грузов в автопоездах, прицепах, полуприцепах и съемных автомобильных кузовах, следующих в составе контейнерных поездов, на специализированных платформах в рамках ценовых пределов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0,937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 на внутрироссийские перевозки груженых крупнотоннажных универсальных контейнеров, следующих в составе контейнерных поездов, на специализированных платформах, предназначенных для перевозки контейнеров, а также на контрейлерные перевозки грузов в автопоездах, прицепах, полуприцепах и съемных автомобильных кузовах, следующих в составе контейнерных поездов, на специализированных платформах, на расстояние перевозки до 2000 км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2021 г. по 31 декабря 2021 г. включительно.</w:t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657959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 или контрейлера, как в пути следования, так и на первоначальной станции назначения.</w:t>
      </w:r>
    </w:p>
    <w:sectPr w:rsidR="00657959" w:rsidRPr="0065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DinDisplayPro-Regular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59"/>
    <w:rsid w:val="0025418A"/>
    <w:rsid w:val="0058260C"/>
    <w:rsid w:val="00657959"/>
    <w:rsid w:val="00B258F7"/>
    <w:rsid w:val="00BB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1CB1"/>
  <w15:chartTrackingRefBased/>
  <w15:docId w15:val="{BB61026D-3675-4FAD-AE09-F4FF8A37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79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79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9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79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57959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579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5795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65795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579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5795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me">
    <w:name w:val="time"/>
    <w:basedOn w:val="a0"/>
    <w:rsid w:val="00657959"/>
  </w:style>
  <w:style w:type="character" w:styleId="a4">
    <w:name w:val="Emphasis"/>
    <w:basedOn w:val="a0"/>
    <w:uiPriority w:val="20"/>
    <w:qFormat/>
    <w:rsid w:val="006579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47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334591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3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1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12764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4725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4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1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5925">
                  <w:marLeft w:val="0"/>
                  <w:marRight w:val="0"/>
                  <w:marTop w:val="0"/>
                  <w:marBottom w:val="0"/>
                  <w:divBdr>
                    <w:top w:val="single" w:sz="12" w:space="8" w:color="D8D8D8"/>
                    <w:left w:val="single" w:sz="12" w:space="8" w:color="D8D8D8"/>
                    <w:bottom w:val="single" w:sz="12" w:space="8" w:color="D8D8D8"/>
                    <w:right w:val="single" w:sz="12" w:space="8" w:color="D8D8D8"/>
                  </w:divBdr>
                  <w:divsChild>
                    <w:div w:id="2348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5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754253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495201">
                  <w:marLeft w:val="0"/>
                  <w:marRight w:val="0"/>
                  <w:marTop w:val="0"/>
                  <w:marBottom w:val="675"/>
                  <w:divBdr>
                    <w:top w:val="single" w:sz="18" w:space="15" w:color="C7C7C7"/>
                    <w:left w:val="single" w:sz="18" w:space="15" w:color="C7C7C7"/>
                    <w:bottom w:val="single" w:sz="18" w:space="15" w:color="C7C7C7"/>
                    <w:right w:val="single" w:sz="18" w:space="15" w:color="C7C7C7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0.12.21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gudok.ru/newspap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2890</Words>
  <Characters>16478</Characters>
  <Application>Microsoft Office Word</Application>
  <DocSecurity>0</DocSecurity>
  <Lines>137</Lines>
  <Paragraphs>38</Paragraphs>
  <ScaleCrop>false</ScaleCrop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2</cp:revision>
  <dcterms:created xsi:type="dcterms:W3CDTF">2020-12-21T09:28:00Z</dcterms:created>
  <dcterms:modified xsi:type="dcterms:W3CDTF">2020-12-21T09:29:00Z</dcterms:modified>
</cp:coreProperties>
</file>